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9C04" w14:textId="77777777" w:rsidR="00E40D85" w:rsidRDefault="00E40D85" w:rsidP="00E40D85">
      <w:pPr>
        <w:jc w:val="center"/>
        <w:rPr>
          <w:rFonts w:ascii="Calibri" w:eastAsia="Calibri" w:hAnsi="Calibri" w:cs="Calibri"/>
          <w:b/>
          <w:bCs/>
          <w:sz w:val="28"/>
          <w:szCs w:val="22"/>
        </w:rPr>
      </w:pPr>
      <w:proofErr w:type="spellStart"/>
      <w:r>
        <w:rPr>
          <w:rFonts w:ascii="Calibri" w:eastAsia="Calibri" w:hAnsi="Calibri" w:cs="Calibri"/>
          <w:b/>
          <w:bCs/>
          <w:sz w:val="28"/>
          <w:szCs w:val="22"/>
        </w:rPr>
        <w:t>ITB</w:t>
      </w:r>
      <w:proofErr w:type="spellEnd"/>
      <w:r>
        <w:rPr>
          <w:rFonts w:ascii="Calibri" w:eastAsia="Calibri" w:hAnsi="Calibri" w:cs="Calibri"/>
          <w:b/>
          <w:bCs/>
          <w:sz w:val="28"/>
          <w:szCs w:val="22"/>
        </w:rPr>
        <w:t># BC-01-17-20-24</w:t>
      </w:r>
    </w:p>
    <w:p w14:paraId="3CC37D2F" w14:textId="77777777" w:rsidR="00ED4C67" w:rsidRPr="00651619" w:rsidRDefault="00ED4C67" w:rsidP="00ED4C67">
      <w:pPr>
        <w:tabs>
          <w:tab w:val="center" w:pos="4725"/>
          <w:tab w:val="left" w:pos="4860"/>
          <w:tab w:val="left" w:pos="5400"/>
          <w:tab w:val="left" w:pos="5940"/>
          <w:tab w:val="left" w:pos="6480"/>
          <w:tab w:val="left" w:pos="7020"/>
          <w:tab w:val="left" w:pos="7560"/>
          <w:tab w:val="left" w:pos="8100"/>
          <w:tab w:val="left" w:pos="8640"/>
          <w:tab w:val="left" w:pos="9180"/>
        </w:tabs>
        <w:jc w:val="center"/>
        <w:rPr>
          <w:rFonts w:ascii="Calibri" w:hAnsi="Calibri" w:cs="Calibri"/>
          <w:b/>
          <w:sz w:val="32"/>
          <w:szCs w:val="20"/>
        </w:rPr>
      </w:pPr>
      <w:r w:rsidRPr="00651619">
        <w:rPr>
          <w:rFonts w:ascii="Calibri" w:hAnsi="Calibri" w:cs="Calibri"/>
          <w:b/>
          <w:sz w:val="32"/>
          <w:szCs w:val="20"/>
        </w:rPr>
        <w:t>PRICE FORM</w:t>
      </w:r>
    </w:p>
    <w:p w14:paraId="32A63CAE" w14:textId="0007530C" w:rsidR="00ED4C67" w:rsidRPr="00651619" w:rsidRDefault="00ED4C67" w:rsidP="00ED4C67">
      <w:pPr>
        <w:jc w:val="center"/>
        <w:rPr>
          <w:rFonts w:ascii="Calibri" w:eastAsia="Calibri" w:hAnsi="Calibri" w:cs="Calibri"/>
          <w:b/>
          <w:bCs/>
          <w:sz w:val="28"/>
          <w:szCs w:val="22"/>
        </w:rPr>
      </w:pPr>
      <w:r w:rsidRPr="00651619">
        <w:rPr>
          <w:rFonts w:ascii="Calibri" w:eastAsia="Calibri" w:hAnsi="Calibri" w:cs="Calibri"/>
          <w:b/>
          <w:bCs/>
          <w:sz w:val="28"/>
          <w:szCs w:val="22"/>
        </w:rPr>
        <w:t>Waste Collection Services</w:t>
      </w:r>
    </w:p>
    <w:p w14:paraId="2E72B96D" w14:textId="77777777" w:rsidR="00ED4C67" w:rsidRPr="00651619" w:rsidRDefault="00ED4C67" w:rsidP="00ED4C67">
      <w:pPr>
        <w:rPr>
          <w:rFonts w:ascii="Calibri" w:eastAsia="Calibri" w:hAnsi="Calibri" w:cs="Calibri"/>
          <w:b/>
          <w:bCs/>
          <w:szCs w:val="22"/>
        </w:rPr>
      </w:pPr>
    </w:p>
    <w:p w14:paraId="024058C1" w14:textId="77777777" w:rsidR="00ED4C67" w:rsidRPr="00651619" w:rsidRDefault="00ED4C67" w:rsidP="00ED4C67">
      <w:pPr>
        <w:rPr>
          <w:rFonts w:ascii="Calibri" w:eastAsia="Calibri" w:hAnsi="Calibri" w:cs="Calibri"/>
          <w:bCs/>
          <w:szCs w:val="22"/>
        </w:rPr>
      </w:pPr>
      <w:r w:rsidRPr="00651619">
        <w:rPr>
          <w:rFonts w:ascii="Calibri" w:eastAsia="Calibri" w:hAnsi="Calibri" w:cs="Calibri"/>
          <w:bCs/>
          <w:szCs w:val="22"/>
        </w:rPr>
        <w:t xml:space="preserve">Name of Prime Bidder: </w:t>
      </w:r>
      <w:r w:rsidRPr="00651619">
        <w:rPr>
          <w:rFonts w:ascii="Calibri" w:eastAsia="Calibri" w:hAnsi="Calibri" w:cs="Calibri"/>
          <w:bCs/>
          <w:szCs w:val="22"/>
          <w:highlight w:val="yellow"/>
        </w:rPr>
        <w:t>____________________________</w:t>
      </w:r>
    </w:p>
    <w:p w14:paraId="79998288" w14:textId="77777777" w:rsidR="00ED4C67" w:rsidRPr="00651619" w:rsidRDefault="00ED4C67" w:rsidP="00ED4C67">
      <w:pPr>
        <w:rPr>
          <w:rFonts w:ascii="Calibri" w:eastAsia="Calibri" w:hAnsi="Calibri" w:cs="Calibri"/>
          <w:b/>
          <w:bCs/>
          <w:szCs w:val="22"/>
        </w:rPr>
      </w:pPr>
    </w:p>
    <w:p w14:paraId="113191E0" w14:textId="77777777" w:rsidR="00ED4C67" w:rsidRPr="00ED4C67" w:rsidRDefault="00ED4C67" w:rsidP="00ED4C67">
      <w:pPr>
        <w:jc w:val="both"/>
        <w:rPr>
          <w:rFonts w:ascii="Calibri" w:eastAsia="Calibri" w:hAnsi="Calibri" w:cs="Calibri"/>
          <w:bCs/>
          <w:spacing w:val="-2"/>
          <w:szCs w:val="22"/>
        </w:rPr>
      </w:pPr>
      <w:r w:rsidRPr="00ED4C67">
        <w:rPr>
          <w:rFonts w:ascii="Calibri" w:eastAsia="Calibri" w:hAnsi="Calibri" w:cs="Calibri"/>
          <w:bCs/>
          <w:spacing w:val="-2"/>
          <w:szCs w:val="22"/>
        </w:rPr>
        <w:t xml:space="preserve">The Contractor shall provide all labor and other resources necessary to provide the supplies, equipment, and services in strict accordance with the specifications defined in this solicitation for the amounts specified in this Bid Form, inclusive of all travel, equipment, materials, and any other related expenses (e.g., insurance and permits, overhead and fringe benefits, profit). Round prices to the nearest whole cent.  </w:t>
      </w:r>
    </w:p>
    <w:p w14:paraId="35B5E929" w14:textId="77777777" w:rsidR="00ED4C67" w:rsidRPr="00651619" w:rsidRDefault="00ED4C67" w:rsidP="00ED4C67">
      <w:pPr>
        <w:jc w:val="both"/>
        <w:rPr>
          <w:rFonts w:ascii="Calibri" w:eastAsia="Calibri" w:hAnsi="Calibri" w:cs="Calibri"/>
          <w:bCs/>
          <w:szCs w:val="22"/>
        </w:rPr>
      </w:pPr>
    </w:p>
    <w:p w14:paraId="1EBE98DF" w14:textId="77777777" w:rsidR="00ED4C67" w:rsidRPr="00651619" w:rsidRDefault="00ED4C67" w:rsidP="00ED4C67">
      <w:pPr>
        <w:jc w:val="both"/>
        <w:rPr>
          <w:rFonts w:ascii="Calibri" w:eastAsia="Calibri" w:hAnsi="Calibri" w:cs="Calibri"/>
          <w:bCs/>
          <w:szCs w:val="22"/>
        </w:rPr>
      </w:pPr>
      <w:r w:rsidRPr="00E40D85">
        <w:rPr>
          <w:rFonts w:ascii="Calibri" w:eastAsia="Calibri" w:hAnsi="Calibri" w:cs="Calibri"/>
          <w:bCs/>
          <w:szCs w:val="22"/>
          <w:u w:val="single"/>
        </w:rPr>
        <w:t>Bidder shall complete all yellow boxes</w:t>
      </w:r>
      <w:r w:rsidRPr="00651619">
        <w:rPr>
          <w:rFonts w:ascii="Calibri" w:eastAsia="Calibri" w:hAnsi="Calibri" w:cs="Calibri"/>
          <w:bCs/>
          <w:szCs w:val="22"/>
        </w:rPr>
        <w:t>.</w:t>
      </w:r>
    </w:p>
    <w:p w14:paraId="10FB67B9" w14:textId="77777777" w:rsidR="00ED4C67" w:rsidRPr="00651619" w:rsidRDefault="00ED4C67" w:rsidP="00ED4C67">
      <w:pPr>
        <w:rPr>
          <w:rFonts w:ascii="Calibri" w:eastAsia="Calibri" w:hAnsi="Calibri" w:cs="Calibri"/>
          <w:bCs/>
          <w:szCs w:val="22"/>
        </w:rPr>
      </w:pPr>
      <w:bookmarkStart w:id="0" w:name="_GoBack"/>
      <w:bookmarkEnd w:id="0"/>
    </w:p>
    <w:p w14:paraId="17C6ED57" w14:textId="77777777" w:rsidR="00ED4C67" w:rsidRPr="00651619" w:rsidRDefault="00ED4C67" w:rsidP="00ED4C67">
      <w:pPr>
        <w:jc w:val="center"/>
        <w:rPr>
          <w:rFonts w:ascii="Calibri" w:eastAsia="Calibri" w:hAnsi="Calibri" w:cs="Calibri"/>
          <w:b/>
          <w:bCs/>
          <w:sz w:val="20"/>
          <w:szCs w:val="20"/>
        </w:rPr>
      </w:pPr>
      <w:r w:rsidRPr="00651619">
        <w:rPr>
          <w:rFonts w:ascii="Calibri" w:eastAsia="Calibri" w:hAnsi="Calibri" w:cs="Calibri"/>
          <w:b/>
          <w:bCs/>
          <w:sz w:val="20"/>
          <w:szCs w:val="20"/>
        </w:rPr>
        <w:t>Residential Service</w:t>
      </w:r>
    </w:p>
    <w:p w14:paraId="458BE0DF" w14:textId="77777777" w:rsidR="00ED4C67" w:rsidRPr="00651619" w:rsidRDefault="00ED4C67" w:rsidP="00ED4C67">
      <w:pPr>
        <w:rPr>
          <w:rFonts w:ascii="Calibri" w:eastAsia="Calibri" w:hAnsi="Calibri" w:cs="Calibri"/>
          <w:bCs/>
          <w:sz w:val="20"/>
          <w:szCs w:val="20"/>
        </w:rPr>
      </w:pPr>
    </w:p>
    <w:p w14:paraId="223EA2AE" w14:textId="77777777" w:rsidR="00ED4C67" w:rsidRPr="00651619" w:rsidRDefault="00ED4C67" w:rsidP="00ED4C67">
      <w:pPr>
        <w:rPr>
          <w:rFonts w:ascii="Calibri" w:eastAsia="Calibri" w:hAnsi="Calibri" w:cs="Calibri"/>
          <w:bCs/>
          <w:sz w:val="20"/>
          <w:szCs w:val="20"/>
        </w:rPr>
      </w:pPr>
      <w:r w:rsidRPr="00651619">
        <w:rPr>
          <w:rFonts w:ascii="Calibri" w:eastAsia="Calibri" w:hAnsi="Calibri" w:cs="Calibri"/>
          <w:bCs/>
          <w:sz w:val="20"/>
          <w:szCs w:val="20"/>
        </w:rPr>
        <w:t>Residential Collection Service</w:t>
      </w:r>
    </w:p>
    <w:p w14:paraId="57F3B49E" w14:textId="77777777" w:rsidR="00ED4C67" w:rsidRPr="00651619" w:rsidRDefault="00ED4C67" w:rsidP="00ED4C67">
      <w:pPr>
        <w:rPr>
          <w:rFonts w:ascii="Calibri" w:eastAsia="Calibri" w:hAnsi="Calibri" w:cs="Calibri"/>
          <w:bCs/>
          <w:sz w:val="20"/>
          <w:szCs w:val="20"/>
        </w:rPr>
      </w:pPr>
    </w:p>
    <w:tbl>
      <w:tblPr>
        <w:tblStyle w:val="TableGrid5"/>
        <w:tblW w:w="10525" w:type="dxa"/>
        <w:tblLook w:val="04A0" w:firstRow="1" w:lastRow="0" w:firstColumn="1" w:lastColumn="0" w:noHBand="0" w:noVBand="1"/>
      </w:tblPr>
      <w:tblGrid>
        <w:gridCol w:w="2155"/>
        <w:gridCol w:w="4680"/>
        <w:gridCol w:w="1710"/>
        <w:gridCol w:w="1980"/>
      </w:tblGrid>
      <w:tr w:rsidR="00ED4C67" w:rsidRPr="00651619" w14:paraId="55CA7D0F" w14:textId="77777777" w:rsidTr="00C37499">
        <w:tc>
          <w:tcPr>
            <w:tcW w:w="2155" w:type="dxa"/>
            <w:shd w:val="clear" w:color="auto" w:fill="D0CECE"/>
          </w:tcPr>
          <w:p w14:paraId="3B64EF36"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Item </w:t>
            </w:r>
          </w:p>
        </w:tc>
        <w:tc>
          <w:tcPr>
            <w:tcW w:w="4680" w:type="dxa"/>
            <w:shd w:val="clear" w:color="auto" w:fill="D0CECE"/>
          </w:tcPr>
          <w:p w14:paraId="2A39ADFB"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Description</w:t>
            </w:r>
          </w:p>
        </w:tc>
        <w:tc>
          <w:tcPr>
            <w:tcW w:w="1710" w:type="dxa"/>
            <w:shd w:val="clear" w:color="auto" w:fill="D0CECE"/>
          </w:tcPr>
          <w:p w14:paraId="01D434FA"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Unit</w:t>
            </w:r>
          </w:p>
        </w:tc>
        <w:tc>
          <w:tcPr>
            <w:tcW w:w="1980" w:type="dxa"/>
            <w:shd w:val="clear" w:color="auto" w:fill="D0CECE"/>
          </w:tcPr>
          <w:p w14:paraId="4501168A"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Rate </w:t>
            </w:r>
          </w:p>
        </w:tc>
      </w:tr>
      <w:tr w:rsidR="00ED4C67" w:rsidRPr="00651619" w14:paraId="17D404F1" w14:textId="77777777" w:rsidTr="00C37499">
        <w:trPr>
          <w:trHeight w:val="1070"/>
        </w:trPr>
        <w:tc>
          <w:tcPr>
            <w:tcW w:w="2155" w:type="dxa"/>
          </w:tcPr>
          <w:p w14:paraId="542C7985"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Residential Collection</w:t>
            </w:r>
          </w:p>
        </w:tc>
        <w:tc>
          <w:tcPr>
            <w:tcW w:w="4680" w:type="dxa"/>
          </w:tcPr>
          <w:p w14:paraId="493ED1AF"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Residential Collection Service includes: Solid Waste, Recyclables, Yard Debris, and Bulky Waste. Rate is for collection only (disposal is not included) and should include a 5% franchise fee.  </w:t>
            </w:r>
          </w:p>
        </w:tc>
        <w:tc>
          <w:tcPr>
            <w:tcW w:w="1710" w:type="dxa"/>
            <w:shd w:val="clear" w:color="auto" w:fill="auto"/>
          </w:tcPr>
          <w:p w14:paraId="09FF15C5"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Monthly fee per customer</w:t>
            </w:r>
          </w:p>
        </w:tc>
        <w:tc>
          <w:tcPr>
            <w:tcW w:w="1980" w:type="dxa"/>
            <w:shd w:val="clear" w:color="auto" w:fill="FFFF00"/>
          </w:tcPr>
          <w:p w14:paraId="19F2EF53"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bl>
    <w:p w14:paraId="3BCE5776" w14:textId="77777777" w:rsidR="00ED4C67" w:rsidRPr="00651619" w:rsidRDefault="00ED4C67" w:rsidP="00ED4C67">
      <w:pPr>
        <w:rPr>
          <w:rFonts w:ascii="Calibri" w:eastAsia="Calibri" w:hAnsi="Calibri" w:cs="Calibri"/>
          <w:bCs/>
          <w:sz w:val="20"/>
          <w:szCs w:val="20"/>
        </w:rPr>
      </w:pPr>
    </w:p>
    <w:p w14:paraId="75FE0F66" w14:textId="77777777" w:rsidR="00ED4C67" w:rsidRPr="00651619" w:rsidRDefault="00ED4C67" w:rsidP="00ED4C67">
      <w:pPr>
        <w:rPr>
          <w:rFonts w:ascii="Calibri" w:eastAsia="Calibri" w:hAnsi="Calibri" w:cs="Calibri"/>
          <w:sz w:val="20"/>
          <w:szCs w:val="20"/>
        </w:rPr>
      </w:pPr>
      <w:r w:rsidRPr="00651619">
        <w:rPr>
          <w:rFonts w:ascii="Calibri" w:eastAsia="Calibri" w:hAnsi="Calibri" w:cs="Calibri"/>
          <w:sz w:val="20"/>
          <w:szCs w:val="20"/>
        </w:rPr>
        <w:t>Additional Required Pricing</w:t>
      </w:r>
    </w:p>
    <w:p w14:paraId="2EA1AB79" w14:textId="77777777" w:rsidR="00ED4C67" w:rsidRPr="00651619" w:rsidRDefault="00ED4C67" w:rsidP="00ED4C67">
      <w:pPr>
        <w:rPr>
          <w:rFonts w:ascii="Calibri" w:eastAsia="Calibri" w:hAnsi="Calibri" w:cs="Calibri"/>
          <w:sz w:val="20"/>
          <w:szCs w:val="20"/>
        </w:rPr>
      </w:pPr>
    </w:p>
    <w:tbl>
      <w:tblPr>
        <w:tblStyle w:val="TableGrid5"/>
        <w:tblW w:w="10615" w:type="dxa"/>
        <w:tblLook w:val="04A0" w:firstRow="1" w:lastRow="0" w:firstColumn="1" w:lastColumn="0" w:noHBand="0" w:noVBand="1"/>
      </w:tblPr>
      <w:tblGrid>
        <w:gridCol w:w="2155"/>
        <w:gridCol w:w="4680"/>
        <w:gridCol w:w="1710"/>
        <w:gridCol w:w="2070"/>
      </w:tblGrid>
      <w:tr w:rsidR="00ED4C67" w:rsidRPr="00651619" w14:paraId="335A026F" w14:textId="77777777" w:rsidTr="00C37499">
        <w:tc>
          <w:tcPr>
            <w:tcW w:w="2155" w:type="dxa"/>
            <w:shd w:val="clear" w:color="auto" w:fill="D0CECE"/>
          </w:tcPr>
          <w:p w14:paraId="0B3C1EB2"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Item </w:t>
            </w:r>
          </w:p>
        </w:tc>
        <w:tc>
          <w:tcPr>
            <w:tcW w:w="4680" w:type="dxa"/>
            <w:shd w:val="clear" w:color="auto" w:fill="D0CECE"/>
          </w:tcPr>
          <w:p w14:paraId="1C724F0F"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Description</w:t>
            </w:r>
          </w:p>
        </w:tc>
        <w:tc>
          <w:tcPr>
            <w:tcW w:w="1710" w:type="dxa"/>
            <w:shd w:val="clear" w:color="auto" w:fill="D0CECE"/>
          </w:tcPr>
          <w:p w14:paraId="684FB55C"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Unit</w:t>
            </w:r>
          </w:p>
        </w:tc>
        <w:tc>
          <w:tcPr>
            <w:tcW w:w="2070" w:type="dxa"/>
            <w:shd w:val="clear" w:color="auto" w:fill="D0CECE"/>
          </w:tcPr>
          <w:p w14:paraId="54ED6C21"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Rate – monthly fee per customer</w:t>
            </w:r>
          </w:p>
        </w:tc>
      </w:tr>
      <w:tr w:rsidR="00ED4C67" w:rsidRPr="00651619" w14:paraId="4ECA1302" w14:textId="77777777" w:rsidTr="00C37499">
        <w:tc>
          <w:tcPr>
            <w:tcW w:w="2155" w:type="dxa"/>
          </w:tcPr>
          <w:p w14:paraId="1F1C2B00"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Non-medical back door</w:t>
            </w:r>
          </w:p>
        </w:tc>
        <w:tc>
          <w:tcPr>
            <w:tcW w:w="4680" w:type="dxa"/>
          </w:tcPr>
          <w:p w14:paraId="16AA6E34"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Additional fee for non-medical back door service of solid waste and recycling.  Rate is in addition to Residential Collection Service fee above.</w:t>
            </w:r>
          </w:p>
        </w:tc>
        <w:tc>
          <w:tcPr>
            <w:tcW w:w="1710" w:type="dxa"/>
            <w:shd w:val="clear" w:color="auto" w:fill="auto"/>
          </w:tcPr>
          <w:p w14:paraId="23527425"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Monthly fee per customer</w:t>
            </w:r>
          </w:p>
        </w:tc>
        <w:tc>
          <w:tcPr>
            <w:tcW w:w="2070" w:type="dxa"/>
            <w:shd w:val="clear" w:color="auto" w:fill="FFFF00"/>
          </w:tcPr>
          <w:p w14:paraId="2D3E6C36"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bl>
    <w:p w14:paraId="394800D4" w14:textId="77777777" w:rsidR="00ED4C67" w:rsidRPr="00651619" w:rsidRDefault="00ED4C67" w:rsidP="00ED4C67">
      <w:pPr>
        <w:jc w:val="center"/>
        <w:rPr>
          <w:rFonts w:ascii="Calibri" w:eastAsia="Calibri" w:hAnsi="Calibri" w:cs="Calibri"/>
          <w:b/>
          <w:bCs/>
          <w:sz w:val="20"/>
          <w:szCs w:val="20"/>
        </w:rPr>
      </w:pPr>
    </w:p>
    <w:p w14:paraId="1A549B56" w14:textId="77777777" w:rsidR="00ED4C67" w:rsidRPr="00651619" w:rsidRDefault="00ED4C67" w:rsidP="00ED4C67">
      <w:pPr>
        <w:jc w:val="center"/>
        <w:rPr>
          <w:rFonts w:ascii="Calibri" w:eastAsia="Calibri" w:hAnsi="Calibri" w:cs="Calibri"/>
          <w:b/>
          <w:bCs/>
          <w:sz w:val="20"/>
          <w:szCs w:val="20"/>
        </w:rPr>
      </w:pPr>
    </w:p>
    <w:p w14:paraId="3AD7EF4F" w14:textId="77777777" w:rsidR="00ED4C67" w:rsidRPr="00651619" w:rsidRDefault="00ED4C67" w:rsidP="00ED4C67">
      <w:pPr>
        <w:jc w:val="center"/>
        <w:rPr>
          <w:rFonts w:ascii="Calibri" w:eastAsia="Calibri" w:hAnsi="Calibri" w:cs="Calibri"/>
          <w:b/>
          <w:bCs/>
          <w:sz w:val="20"/>
          <w:szCs w:val="20"/>
        </w:rPr>
      </w:pPr>
      <w:r w:rsidRPr="00651619">
        <w:rPr>
          <w:rFonts w:ascii="Calibri" w:eastAsia="Calibri" w:hAnsi="Calibri" w:cs="Calibri"/>
          <w:b/>
          <w:bCs/>
          <w:sz w:val="20"/>
          <w:szCs w:val="20"/>
        </w:rPr>
        <w:t>Commercial Service</w:t>
      </w:r>
    </w:p>
    <w:p w14:paraId="090484F7" w14:textId="77777777" w:rsidR="00ED4C67" w:rsidRPr="00651619" w:rsidRDefault="00ED4C67" w:rsidP="00ED4C67">
      <w:pPr>
        <w:rPr>
          <w:rFonts w:ascii="Calibri" w:eastAsia="Calibri" w:hAnsi="Calibri" w:cs="Calibri"/>
          <w:bCs/>
          <w:sz w:val="20"/>
          <w:szCs w:val="20"/>
        </w:rPr>
      </w:pPr>
    </w:p>
    <w:p w14:paraId="0D6DB45A" w14:textId="77777777" w:rsidR="00ED4C67" w:rsidRPr="00651619" w:rsidRDefault="00ED4C67" w:rsidP="00ED4C67">
      <w:pPr>
        <w:rPr>
          <w:rFonts w:ascii="Calibri" w:eastAsia="Calibri" w:hAnsi="Calibri" w:cs="Calibri"/>
          <w:bCs/>
          <w:sz w:val="20"/>
          <w:szCs w:val="20"/>
        </w:rPr>
      </w:pPr>
      <w:r w:rsidRPr="00651619">
        <w:rPr>
          <w:rFonts w:ascii="Calibri" w:eastAsia="Calibri" w:hAnsi="Calibri" w:cs="Calibri"/>
          <w:bCs/>
          <w:sz w:val="20"/>
          <w:szCs w:val="20"/>
        </w:rPr>
        <w:t>Commercial Waste – Non-compaction.  Collection fees include container rental and maintenance.</w:t>
      </w:r>
    </w:p>
    <w:p w14:paraId="44AC9226" w14:textId="77777777" w:rsidR="00ED4C67" w:rsidRPr="00651619" w:rsidRDefault="00ED4C67" w:rsidP="00ED4C67">
      <w:pPr>
        <w:rPr>
          <w:rFonts w:ascii="Calibri" w:eastAsia="Calibri" w:hAnsi="Calibri" w:cs="Calibri"/>
          <w:bCs/>
          <w:sz w:val="20"/>
          <w:szCs w:val="20"/>
        </w:rPr>
      </w:pPr>
    </w:p>
    <w:tbl>
      <w:tblPr>
        <w:tblStyle w:val="TableGrid5"/>
        <w:tblW w:w="10705" w:type="dxa"/>
        <w:tblLook w:val="04A0" w:firstRow="1" w:lastRow="0" w:firstColumn="1" w:lastColumn="0" w:noHBand="0" w:noVBand="1"/>
      </w:tblPr>
      <w:tblGrid>
        <w:gridCol w:w="2155"/>
        <w:gridCol w:w="4770"/>
        <w:gridCol w:w="1620"/>
        <w:gridCol w:w="2160"/>
      </w:tblGrid>
      <w:tr w:rsidR="00ED4C67" w:rsidRPr="00651619" w14:paraId="6D134322" w14:textId="77777777" w:rsidTr="00C37499">
        <w:tc>
          <w:tcPr>
            <w:tcW w:w="2155" w:type="dxa"/>
            <w:shd w:val="clear" w:color="auto" w:fill="D0CECE"/>
          </w:tcPr>
          <w:p w14:paraId="2B6F9126"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Item </w:t>
            </w:r>
          </w:p>
        </w:tc>
        <w:tc>
          <w:tcPr>
            <w:tcW w:w="4770" w:type="dxa"/>
            <w:shd w:val="clear" w:color="auto" w:fill="D0CECE"/>
          </w:tcPr>
          <w:p w14:paraId="7220345F"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Description</w:t>
            </w:r>
          </w:p>
        </w:tc>
        <w:tc>
          <w:tcPr>
            <w:tcW w:w="1620" w:type="dxa"/>
            <w:shd w:val="clear" w:color="auto" w:fill="D0CECE"/>
          </w:tcPr>
          <w:p w14:paraId="58860AFC"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Unit</w:t>
            </w:r>
          </w:p>
        </w:tc>
        <w:tc>
          <w:tcPr>
            <w:tcW w:w="2160" w:type="dxa"/>
            <w:shd w:val="clear" w:color="auto" w:fill="D0CECE"/>
          </w:tcPr>
          <w:p w14:paraId="296043BC"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Rate </w:t>
            </w:r>
          </w:p>
        </w:tc>
      </w:tr>
      <w:tr w:rsidR="00ED4C67" w:rsidRPr="00651619" w14:paraId="222E41D1" w14:textId="77777777" w:rsidTr="00C37499">
        <w:trPr>
          <w:trHeight w:val="818"/>
        </w:trPr>
        <w:tc>
          <w:tcPr>
            <w:tcW w:w="2155" w:type="dxa"/>
          </w:tcPr>
          <w:p w14:paraId="17036644"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Non-compaction per cubic yard</w:t>
            </w:r>
          </w:p>
        </w:tc>
        <w:tc>
          <w:tcPr>
            <w:tcW w:w="4770" w:type="dxa"/>
          </w:tcPr>
          <w:p w14:paraId="7876FC5E"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Non-compacted Commercial Collection Service includes the collection of Solid Waste. Rate to include 5% franchise fee. </w:t>
            </w:r>
          </w:p>
        </w:tc>
        <w:tc>
          <w:tcPr>
            <w:tcW w:w="1620" w:type="dxa"/>
            <w:shd w:val="clear" w:color="auto" w:fill="auto"/>
          </w:tcPr>
          <w:p w14:paraId="07BC8ECC"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Per container cubic yard </w:t>
            </w:r>
          </w:p>
        </w:tc>
        <w:tc>
          <w:tcPr>
            <w:tcW w:w="2160" w:type="dxa"/>
            <w:shd w:val="clear" w:color="auto" w:fill="FFFF00"/>
          </w:tcPr>
          <w:p w14:paraId="67BEEA45"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bl>
    <w:p w14:paraId="639FC637" w14:textId="77777777" w:rsidR="00ED4C67" w:rsidRPr="00651619" w:rsidRDefault="00ED4C67" w:rsidP="00ED4C67">
      <w:pPr>
        <w:rPr>
          <w:rFonts w:ascii="Calibri" w:eastAsia="Calibri" w:hAnsi="Calibri" w:cs="Calibri"/>
          <w:bCs/>
          <w:sz w:val="20"/>
          <w:szCs w:val="20"/>
        </w:rPr>
      </w:pPr>
    </w:p>
    <w:p w14:paraId="03841D47" w14:textId="77777777" w:rsidR="00ED4C67" w:rsidRPr="00651619" w:rsidRDefault="00ED4C67" w:rsidP="00ED4C67">
      <w:pPr>
        <w:rPr>
          <w:rFonts w:ascii="Calibri" w:eastAsia="Calibri" w:hAnsi="Calibri" w:cs="Calibri"/>
          <w:bCs/>
          <w:sz w:val="20"/>
          <w:szCs w:val="20"/>
        </w:rPr>
      </w:pPr>
      <w:r w:rsidRPr="00651619">
        <w:rPr>
          <w:rFonts w:ascii="Calibri" w:eastAsia="Calibri" w:hAnsi="Calibri" w:cs="Calibri"/>
          <w:bCs/>
          <w:sz w:val="20"/>
          <w:szCs w:val="20"/>
        </w:rPr>
        <w:t xml:space="preserve">Commercial Waste – Compaction.  Self-contained compactors may be owned by the customer or a rental fee may be negotiated between the customer and the Contractor.  Pull charge does not include disposal.  The Contractor shall pay the actual tip fee at the County-designated facility.  </w:t>
      </w:r>
    </w:p>
    <w:p w14:paraId="7E63D27A" w14:textId="77777777" w:rsidR="00ED4C67" w:rsidRPr="00651619" w:rsidRDefault="00ED4C67" w:rsidP="00ED4C67">
      <w:pPr>
        <w:rPr>
          <w:rFonts w:ascii="Calibri" w:eastAsia="Calibri" w:hAnsi="Calibri" w:cs="Calibri"/>
          <w:bCs/>
          <w:sz w:val="20"/>
          <w:szCs w:val="20"/>
        </w:rPr>
      </w:pPr>
    </w:p>
    <w:tbl>
      <w:tblPr>
        <w:tblStyle w:val="TableGrid5"/>
        <w:tblW w:w="10705" w:type="dxa"/>
        <w:tblLook w:val="04A0" w:firstRow="1" w:lastRow="0" w:firstColumn="1" w:lastColumn="0" w:noHBand="0" w:noVBand="1"/>
      </w:tblPr>
      <w:tblGrid>
        <w:gridCol w:w="2155"/>
        <w:gridCol w:w="4770"/>
        <w:gridCol w:w="1710"/>
        <w:gridCol w:w="2070"/>
      </w:tblGrid>
      <w:tr w:rsidR="00ED4C67" w:rsidRPr="00651619" w14:paraId="2983CA81" w14:textId="77777777" w:rsidTr="00C37499">
        <w:tc>
          <w:tcPr>
            <w:tcW w:w="2155" w:type="dxa"/>
            <w:shd w:val="clear" w:color="auto" w:fill="D0CECE"/>
          </w:tcPr>
          <w:p w14:paraId="568EA088"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Item </w:t>
            </w:r>
          </w:p>
        </w:tc>
        <w:tc>
          <w:tcPr>
            <w:tcW w:w="4770" w:type="dxa"/>
            <w:shd w:val="clear" w:color="auto" w:fill="D0CECE"/>
          </w:tcPr>
          <w:p w14:paraId="38B17851"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Description</w:t>
            </w:r>
          </w:p>
        </w:tc>
        <w:tc>
          <w:tcPr>
            <w:tcW w:w="1710" w:type="dxa"/>
            <w:shd w:val="clear" w:color="auto" w:fill="D0CECE"/>
          </w:tcPr>
          <w:p w14:paraId="0B619F62"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Unit</w:t>
            </w:r>
          </w:p>
        </w:tc>
        <w:tc>
          <w:tcPr>
            <w:tcW w:w="2070" w:type="dxa"/>
            <w:shd w:val="clear" w:color="auto" w:fill="D0CECE"/>
          </w:tcPr>
          <w:p w14:paraId="3B2C31EB"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Rate </w:t>
            </w:r>
          </w:p>
        </w:tc>
      </w:tr>
      <w:tr w:rsidR="00ED4C67" w:rsidRPr="00651619" w14:paraId="0145989B" w14:textId="77777777" w:rsidTr="00C37499">
        <w:trPr>
          <w:trHeight w:val="566"/>
        </w:trPr>
        <w:tc>
          <w:tcPr>
            <w:tcW w:w="2155" w:type="dxa"/>
          </w:tcPr>
          <w:p w14:paraId="3FFC914D" w14:textId="77777777" w:rsidR="00ED4C67" w:rsidRPr="00651619" w:rsidRDefault="00ED4C67" w:rsidP="00C37499">
            <w:pPr>
              <w:rPr>
                <w:rFonts w:ascii="Calibri" w:hAnsi="Calibri" w:cs="Calibri"/>
                <w:bCs/>
                <w:sz w:val="20"/>
                <w:szCs w:val="20"/>
              </w:rPr>
            </w:pPr>
            <w:bookmarkStart w:id="1" w:name="_Hlk20489249"/>
            <w:r w:rsidRPr="00651619">
              <w:rPr>
                <w:rFonts w:ascii="Calibri" w:hAnsi="Calibri" w:cs="Calibri"/>
                <w:bCs/>
                <w:sz w:val="20"/>
                <w:szCs w:val="20"/>
              </w:rPr>
              <w:t>Compaction pull charge – 20 cubic yards</w:t>
            </w:r>
          </w:p>
        </w:tc>
        <w:tc>
          <w:tcPr>
            <w:tcW w:w="4770" w:type="dxa"/>
          </w:tcPr>
          <w:p w14:paraId="575F1A07"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Pull charge per 20 cubic yard compactor, </w:t>
            </w:r>
          </w:p>
        </w:tc>
        <w:tc>
          <w:tcPr>
            <w:tcW w:w="1710" w:type="dxa"/>
          </w:tcPr>
          <w:p w14:paraId="76765D53"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Per pull</w:t>
            </w:r>
          </w:p>
        </w:tc>
        <w:tc>
          <w:tcPr>
            <w:tcW w:w="2070" w:type="dxa"/>
            <w:shd w:val="clear" w:color="auto" w:fill="FFFF00"/>
          </w:tcPr>
          <w:p w14:paraId="35E730BD"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bookmarkEnd w:id="1"/>
      <w:tr w:rsidR="00ED4C67" w:rsidRPr="00651619" w14:paraId="3C0B89A4" w14:textId="77777777" w:rsidTr="00C37499">
        <w:trPr>
          <w:trHeight w:val="620"/>
        </w:trPr>
        <w:tc>
          <w:tcPr>
            <w:tcW w:w="2155" w:type="dxa"/>
          </w:tcPr>
          <w:p w14:paraId="65FC32E5"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Compaction pull charge – 30 cubic yards</w:t>
            </w:r>
          </w:p>
        </w:tc>
        <w:tc>
          <w:tcPr>
            <w:tcW w:w="4770" w:type="dxa"/>
          </w:tcPr>
          <w:p w14:paraId="17396B10"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Pull charge per 30 cubic yard compactor</w:t>
            </w:r>
          </w:p>
        </w:tc>
        <w:tc>
          <w:tcPr>
            <w:tcW w:w="1710" w:type="dxa"/>
          </w:tcPr>
          <w:p w14:paraId="10CD0B06"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Per pull</w:t>
            </w:r>
          </w:p>
        </w:tc>
        <w:tc>
          <w:tcPr>
            <w:tcW w:w="2070" w:type="dxa"/>
            <w:shd w:val="clear" w:color="auto" w:fill="FFFF00"/>
          </w:tcPr>
          <w:p w14:paraId="252CA03A"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r w:rsidR="00ED4C67" w:rsidRPr="00651619" w14:paraId="47AE4040" w14:textId="77777777" w:rsidTr="00C37499">
        <w:trPr>
          <w:trHeight w:val="620"/>
        </w:trPr>
        <w:tc>
          <w:tcPr>
            <w:tcW w:w="2155" w:type="dxa"/>
          </w:tcPr>
          <w:p w14:paraId="21AC37BD"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Compaction pull charge – 40 cubic yards</w:t>
            </w:r>
          </w:p>
        </w:tc>
        <w:tc>
          <w:tcPr>
            <w:tcW w:w="4770" w:type="dxa"/>
          </w:tcPr>
          <w:p w14:paraId="66E31B5C"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Pull charge per 40 cubic yard compactor</w:t>
            </w:r>
          </w:p>
        </w:tc>
        <w:tc>
          <w:tcPr>
            <w:tcW w:w="1710" w:type="dxa"/>
          </w:tcPr>
          <w:p w14:paraId="319D8020"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Per pull</w:t>
            </w:r>
          </w:p>
        </w:tc>
        <w:tc>
          <w:tcPr>
            <w:tcW w:w="2070" w:type="dxa"/>
            <w:shd w:val="clear" w:color="auto" w:fill="FFFF00"/>
          </w:tcPr>
          <w:p w14:paraId="02490E17"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bl>
    <w:p w14:paraId="02E3C46D" w14:textId="77777777" w:rsidR="00ED4C67" w:rsidRPr="00651619" w:rsidRDefault="00ED4C67" w:rsidP="00ED4C67">
      <w:pPr>
        <w:rPr>
          <w:rFonts w:ascii="Calibri" w:eastAsia="Calibri" w:hAnsi="Calibri" w:cs="Calibri"/>
          <w:sz w:val="20"/>
          <w:szCs w:val="20"/>
        </w:rPr>
      </w:pPr>
    </w:p>
    <w:p w14:paraId="76F346A9" w14:textId="2074EE9C" w:rsidR="00ED4C67" w:rsidRDefault="00ED4C67" w:rsidP="00ED4C67">
      <w:pPr>
        <w:rPr>
          <w:rFonts w:ascii="Calibri" w:eastAsia="Calibri" w:hAnsi="Calibri" w:cs="Calibri"/>
          <w:sz w:val="20"/>
          <w:szCs w:val="20"/>
        </w:rPr>
      </w:pPr>
    </w:p>
    <w:p w14:paraId="40F29C21" w14:textId="77777777" w:rsidR="00ED4C67" w:rsidRPr="00651619" w:rsidRDefault="00ED4C67" w:rsidP="00ED4C67">
      <w:pPr>
        <w:rPr>
          <w:rFonts w:ascii="Calibri" w:eastAsia="Calibri" w:hAnsi="Calibri" w:cs="Calibri"/>
          <w:sz w:val="20"/>
          <w:szCs w:val="20"/>
        </w:rPr>
      </w:pPr>
    </w:p>
    <w:p w14:paraId="6DEAC305" w14:textId="77777777" w:rsidR="00ED4C67" w:rsidRPr="00651619" w:rsidRDefault="00ED4C67" w:rsidP="00ED4C67">
      <w:pPr>
        <w:rPr>
          <w:rFonts w:ascii="Calibri" w:eastAsia="Calibri" w:hAnsi="Calibri" w:cs="Calibri"/>
          <w:sz w:val="20"/>
          <w:szCs w:val="20"/>
        </w:rPr>
      </w:pPr>
      <w:r w:rsidRPr="00651619">
        <w:rPr>
          <w:rFonts w:ascii="Calibri" w:eastAsia="Calibri" w:hAnsi="Calibri" w:cs="Calibri"/>
          <w:sz w:val="20"/>
          <w:szCs w:val="20"/>
        </w:rPr>
        <w:t xml:space="preserve">Commercial Waste - Small volume, 95-gallon cart </w:t>
      </w:r>
    </w:p>
    <w:p w14:paraId="624890DF" w14:textId="77777777" w:rsidR="00ED4C67" w:rsidRPr="00651619" w:rsidRDefault="00ED4C67" w:rsidP="00ED4C67">
      <w:pPr>
        <w:rPr>
          <w:rFonts w:ascii="Calibri" w:eastAsia="Calibri" w:hAnsi="Calibri" w:cs="Calibri"/>
          <w:sz w:val="20"/>
          <w:szCs w:val="20"/>
        </w:rPr>
      </w:pPr>
    </w:p>
    <w:tbl>
      <w:tblPr>
        <w:tblStyle w:val="TableGrid5"/>
        <w:tblW w:w="10705" w:type="dxa"/>
        <w:tblLook w:val="04A0" w:firstRow="1" w:lastRow="0" w:firstColumn="1" w:lastColumn="0" w:noHBand="0" w:noVBand="1"/>
      </w:tblPr>
      <w:tblGrid>
        <w:gridCol w:w="2245"/>
        <w:gridCol w:w="4680"/>
        <w:gridCol w:w="1710"/>
        <w:gridCol w:w="2070"/>
      </w:tblGrid>
      <w:tr w:rsidR="00ED4C67" w:rsidRPr="00651619" w14:paraId="69BCD9AC" w14:textId="77777777" w:rsidTr="00C37499">
        <w:tc>
          <w:tcPr>
            <w:tcW w:w="2245" w:type="dxa"/>
            <w:shd w:val="clear" w:color="auto" w:fill="D0CECE"/>
          </w:tcPr>
          <w:p w14:paraId="14EAB72C" w14:textId="77777777" w:rsidR="00ED4C67" w:rsidRPr="00651619" w:rsidRDefault="00ED4C67" w:rsidP="00C37499">
            <w:pPr>
              <w:rPr>
                <w:rFonts w:ascii="Calibri" w:hAnsi="Calibri" w:cs="Calibri"/>
                <w:bCs/>
                <w:sz w:val="20"/>
                <w:szCs w:val="20"/>
              </w:rPr>
            </w:pPr>
            <w:bookmarkStart w:id="2" w:name="_Hlk20489682"/>
            <w:r w:rsidRPr="00651619">
              <w:rPr>
                <w:rFonts w:ascii="Calibri" w:hAnsi="Calibri" w:cs="Calibri"/>
                <w:bCs/>
                <w:sz w:val="20"/>
                <w:szCs w:val="20"/>
              </w:rPr>
              <w:t># of carts</w:t>
            </w:r>
          </w:p>
        </w:tc>
        <w:tc>
          <w:tcPr>
            <w:tcW w:w="4680" w:type="dxa"/>
            <w:shd w:val="clear" w:color="auto" w:fill="D0CECE"/>
          </w:tcPr>
          <w:p w14:paraId="0B81C5A4"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Weekly pick-ups</w:t>
            </w:r>
          </w:p>
        </w:tc>
        <w:tc>
          <w:tcPr>
            <w:tcW w:w="1710" w:type="dxa"/>
            <w:shd w:val="clear" w:color="auto" w:fill="D0CECE"/>
          </w:tcPr>
          <w:p w14:paraId="0C87CFF7"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Unit</w:t>
            </w:r>
          </w:p>
        </w:tc>
        <w:tc>
          <w:tcPr>
            <w:tcW w:w="2070" w:type="dxa"/>
            <w:shd w:val="clear" w:color="auto" w:fill="D0CECE"/>
          </w:tcPr>
          <w:p w14:paraId="5141F0B9"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 xml:space="preserve">Rate </w:t>
            </w:r>
          </w:p>
        </w:tc>
      </w:tr>
      <w:tr w:rsidR="00ED4C67" w:rsidRPr="00651619" w14:paraId="672444DB" w14:textId="77777777" w:rsidTr="00C37499">
        <w:trPr>
          <w:trHeight w:val="827"/>
        </w:trPr>
        <w:tc>
          <w:tcPr>
            <w:tcW w:w="2245" w:type="dxa"/>
          </w:tcPr>
          <w:p w14:paraId="0CF78DFA"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One</w:t>
            </w:r>
          </w:p>
        </w:tc>
        <w:tc>
          <w:tcPr>
            <w:tcW w:w="4680" w:type="dxa"/>
          </w:tcPr>
          <w:p w14:paraId="100E7847"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One</w:t>
            </w:r>
          </w:p>
        </w:tc>
        <w:tc>
          <w:tcPr>
            <w:tcW w:w="1710" w:type="dxa"/>
            <w:shd w:val="clear" w:color="auto" w:fill="auto"/>
          </w:tcPr>
          <w:p w14:paraId="16290813"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Per month</w:t>
            </w:r>
          </w:p>
        </w:tc>
        <w:tc>
          <w:tcPr>
            <w:tcW w:w="2070" w:type="dxa"/>
            <w:shd w:val="clear" w:color="auto" w:fill="FFFF00"/>
          </w:tcPr>
          <w:p w14:paraId="3F2770EF"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r w:rsidR="00ED4C67" w:rsidRPr="00651619" w14:paraId="66738264" w14:textId="77777777" w:rsidTr="00C37499">
        <w:trPr>
          <w:trHeight w:val="890"/>
        </w:trPr>
        <w:tc>
          <w:tcPr>
            <w:tcW w:w="2245" w:type="dxa"/>
          </w:tcPr>
          <w:p w14:paraId="7572830F"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Two</w:t>
            </w:r>
          </w:p>
        </w:tc>
        <w:tc>
          <w:tcPr>
            <w:tcW w:w="4680" w:type="dxa"/>
          </w:tcPr>
          <w:p w14:paraId="451AE02B"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One</w:t>
            </w:r>
          </w:p>
        </w:tc>
        <w:tc>
          <w:tcPr>
            <w:tcW w:w="1710" w:type="dxa"/>
          </w:tcPr>
          <w:p w14:paraId="3316A611"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Per month</w:t>
            </w:r>
          </w:p>
        </w:tc>
        <w:tc>
          <w:tcPr>
            <w:tcW w:w="2070" w:type="dxa"/>
            <w:shd w:val="clear" w:color="auto" w:fill="FFFF00"/>
          </w:tcPr>
          <w:p w14:paraId="06EDA8DB"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r w:rsidR="00ED4C67" w:rsidRPr="00651619" w14:paraId="7C936FA9" w14:textId="77777777" w:rsidTr="00C37499">
        <w:trPr>
          <w:trHeight w:val="971"/>
        </w:trPr>
        <w:tc>
          <w:tcPr>
            <w:tcW w:w="2245" w:type="dxa"/>
          </w:tcPr>
          <w:p w14:paraId="785E364D"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Three</w:t>
            </w:r>
          </w:p>
        </w:tc>
        <w:tc>
          <w:tcPr>
            <w:tcW w:w="4680" w:type="dxa"/>
          </w:tcPr>
          <w:p w14:paraId="51563177"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One</w:t>
            </w:r>
          </w:p>
        </w:tc>
        <w:tc>
          <w:tcPr>
            <w:tcW w:w="1710" w:type="dxa"/>
          </w:tcPr>
          <w:p w14:paraId="72B4880E"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Per month</w:t>
            </w:r>
          </w:p>
        </w:tc>
        <w:tc>
          <w:tcPr>
            <w:tcW w:w="2070" w:type="dxa"/>
            <w:shd w:val="clear" w:color="auto" w:fill="FFFF00"/>
          </w:tcPr>
          <w:p w14:paraId="12D47B86"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r w:rsidR="00ED4C67" w:rsidRPr="00651619" w14:paraId="613922CC" w14:textId="77777777" w:rsidTr="00C37499">
        <w:trPr>
          <w:trHeight w:val="890"/>
        </w:trPr>
        <w:tc>
          <w:tcPr>
            <w:tcW w:w="2245" w:type="dxa"/>
          </w:tcPr>
          <w:p w14:paraId="3F2F9823"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Additional 95-gallon cart</w:t>
            </w:r>
          </w:p>
        </w:tc>
        <w:tc>
          <w:tcPr>
            <w:tcW w:w="4680" w:type="dxa"/>
          </w:tcPr>
          <w:p w14:paraId="1FEC465E"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One</w:t>
            </w:r>
          </w:p>
        </w:tc>
        <w:tc>
          <w:tcPr>
            <w:tcW w:w="1710" w:type="dxa"/>
          </w:tcPr>
          <w:p w14:paraId="46543AD9"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Per additional cart, per month</w:t>
            </w:r>
          </w:p>
        </w:tc>
        <w:tc>
          <w:tcPr>
            <w:tcW w:w="2070" w:type="dxa"/>
            <w:shd w:val="clear" w:color="auto" w:fill="FFFF00"/>
          </w:tcPr>
          <w:p w14:paraId="2862613D"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bookmarkEnd w:id="2"/>
    </w:tbl>
    <w:p w14:paraId="67F8CA71" w14:textId="77777777" w:rsidR="00ED4C67" w:rsidRPr="00651619" w:rsidRDefault="00ED4C67" w:rsidP="00ED4C67">
      <w:pPr>
        <w:rPr>
          <w:rFonts w:ascii="Calibri" w:eastAsia="Calibri" w:hAnsi="Calibri" w:cs="Calibri"/>
          <w:sz w:val="20"/>
          <w:szCs w:val="20"/>
        </w:rPr>
      </w:pPr>
    </w:p>
    <w:p w14:paraId="4E7B4530" w14:textId="77777777" w:rsidR="00ED4C67" w:rsidRPr="00651619" w:rsidRDefault="00ED4C67" w:rsidP="00ED4C67">
      <w:pPr>
        <w:rPr>
          <w:rFonts w:ascii="Calibri" w:eastAsia="Calibri" w:hAnsi="Calibri" w:cs="Calibri"/>
          <w:sz w:val="20"/>
          <w:szCs w:val="20"/>
        </w:rPr>
      </w:pPr>
      <w:r w:rsidRPr="00651619">
        <w:rPr>
          <w:rFonts w:ascii="Calibri" w:eastAsia="Calibri" w:hAnsi="Calibri" w:cs="Calibri"/>
          <w:sz w:val="20"/>
          <w:szCs w:val="20"/>
        </w:rPr>
        <w:t xml:space="preserve">Commercial Recycling – Bidder to provide the not-to-exceed commercial recycling fees it will charge Commercial Customers requesting recycling service.  The selected bidder (Contractor) shall provide this service on a non-exclusive basis.  Contractor may charge less than these </w:t>
      </w:r>
      <w:proofErr w:type="gramStart"/>
      <w:r w:rsidRPr="00651619">
        <w:rPr>
          <w:rFonts w:ascii="Calibri" w:eastAsia="Calibri" w:hAnsi="Calibri" w:cs="Calibri"/>
          <w:sz w:val="20"/>
          <w:szCs w:val="20"/>
        </w:rPr>
        <w:t>prices, but</w:t>
      </w:r>
      <w:proofErr w:type="gramEnd"/>
      <w:r w:rsidRPr="00651619">
        <w:rPr>
          <w:rFonts w:ascii="Calibri" w:eastAsia="Calibri" w:hAnsi="Calibri" w:cs="Calibri"/>
          <w:sz w:val="20"/>
          <w:szCs w:val="20"/>
        </w:rPr>
        <w:t xml:space="preserve"> may not charge more.  All rates assume weekly collection service.  </w:t>
      </w:r>
    </w:p>
    <w:p w14:paraId="6A1A311B" w14:textId="77777777" w:rsidR="00ED4C67" w:rsidRPr="00651619" w:rsidRDefault="00ED4C67" w:rsidP="00ED4C67">
      <w:pPr>
        <w:rPr>
          <w:rFonts w:ascii="Calibri" w:eastAsia="Calibri" w:hAnsi="Calibri" w:cs="Calibri"/>
          <w:sz w:val="20"/>
          <w:szCs w:val="20"/>
        </w:rPr>
      </w:pPr>
    </w:p>
    <w:tbl>
      <w:tblPr>
        <w:tblStyle w:val="TableGrid5"/>
        <w:tblW w:w="10705" w:type="dxa"/>
        <w:tblLook w:val="04A0" w:firstRow="1" w:lastRow="0" w:firstColumn="1" w:lastColumn="0" w:noHBand="0" w:noVBand="1"/>
      </w:tblPr>
      <w:tblGrid>
        <w:gridCol w:w="3547"/>
        <w:gridCol w:w="1308"/>
        <w:gridCol w:w="1950"/>
        <w:gridCol w:w="1950"/>
        <w:gridCol w:w="1950"/>
      </w:tblGrid>
      <w:tr w:rsidR="00ED4C67" w:rsidRPr="00651619" w14:paraId="2CC5261F" w14:textId="77777777" w:rsidTr="00C37499">
        <w:tc>
          <w:tcPr>
            <w:tcW w:w="3547" w:type="dxa"/>
            <w:shd w:val="clear" w:color="auto" w:fill="D0CECE"/>
          </w:tcPr>
          <w:p w14:paraId="09DABD84"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Container size</w:t>
            </w:r>
          </w:p>
        </w:tc>
        <w:tc>
          <w:tcPr>
            <w:tcW w:w="1308" w:type="dxa"/>
            <w:shd w:val="clear" w:color="auto" w:fill="D0CECE"/>
          </w:tcPr>
          <w:p w14:paraId="27A5293A" w14:textId="77777777" w:rsidR="00ED4C67" w:rsidRPr="00651619" w:rsidRDefault="00ED4C67" w:rsidP="00C37499">
            <w:pPr>
              <w:jc w:val="center"/>
              <w:rPr>
                <w:rFonts w:ascii="Calibri" w:hAnsi="Calibri" w:cs="Calibri"/>
                <w:bCs/>
                <w:sz w:val="20"/>
                <w:szCs w:val="20"/>
              </w:rPr>
            </w:pPr>
            <w:r w:rsidRPr="00651619">
              <w:rPr>
                <w:rFonts w:ascii="Calibri" w:hAnsi="Calibri" w:cs="Calibri"/>
                <w:bCs/>
                <w:sz w:val="20"/>
                <w:szCs w:val="20"/>
              </w:rPr>
              <w:t>Unit</w:t>
            </w:r>
          </w:p>
        </w:tc>
        <w:tc>
          <w:tcPr>
            <w:tcW w:w="1950" w:type="dxa"/>
            <w:shd w:val="clear" w:color="auto" w:fill="D0CECE"/>
          </w:tcPr>
          <w:p w14:paraId="062B595C" w14:textId="77777777" w:rsidR="00ED4C67" w:rsidRPr="00651619" w:rsidRDefault="00ED4C67" w:rsidP="00C37499">
            <w:pPr>
              <w:jc w:val="center"/>
              <w:rPr>
                <w:rFonts w:ascii="Calibri" w:hAnsi="Calibri" w:cs="Calibri"/>
                <w:bCs/>
                <w:sz w:val="20"/>
                <w:szCs w:val="20"/>
              </w:rPr>
            </w:pPr>
            <w:r w:rsidRPr="00651619">
              <w:rPr>
                <w:rFonts w:ascii="Calibri" w:hAnsi="Calibri" w:cs="Calibri"/>
                <w:bCs/>
                <w:sz w:val="20"/>
                <w:szCs w:val="20"/>
              </w:rPr>
              <w:t>Paper</w:t>
            </w:r>
          </w:p>
        </w:tc>
        <w:tc>
          <w:tcPr>
            <w:tcW w:w="1950" w:type="dxa"/>
            <w:shd w:val="clear" w:color="auto" w:fill="D0CECE"/>
          </w:tcPr>
          <w:p w14:paraId="480FD63E" w14:textId="77777777" w:rsidR="00ED4C67" w:rsidRPr="00651619" w:rsidRDefault="00ED4C67" w:rsidP="00C37499">
            <w:pPr>
              <w:jc w:val="center"/>
              <w:rPr>
                <w:rFonts w:ascii="Calibri" w:hAnsi="Calibri" w:cs="Calibri"/>
                <w:bCs/>
                <w:sz w:val="20"/>
                <w:szCs w:val="20"/>
              </w:rPr>
            </w:pPr>
            <w:r w:rsidRPr="00651619">
              <w:rPr>
                <w:rFonts w:ascii="Calibri" w:hAnsi="Calibri" w:cs="Calibri"/>
                <w:bCs/>
                <w:sz w:val="20"/>
                <w:szCs w:val="20"/>
              </w:rPr>
              <w:t>Comingled Containers</w:t>
            </w:r>
          </w:p>
        </w:tc>
        <w:tc>
          <w:tcPr>
            <w:tcW w:w="1950" w:type="dxa"/>
            <w:shd w:val="clear" w:color="auto" w:fill="D0CECE"/>
          </w:tcPr>
          <w:p w14:paraId="229AEEBA" w14:textId="77777777" w:rsidR="00ED4C67" w:rsidRPr="00651619" w:rsidRDefault="00ED4C67" w:rsidP="00C37499">
            <w:pPr>
              <w:jc w:val="center"/>
              <w:rPr>
                <w:rFonts w:ascii="Calibri" w:hAnsi="Calibri" w:cs="Calibri"/>
                <w:bCs/>
                <w:sz w:val="20"/>
                <w:szCs w:val="20"/>
              </w:rPr>
            </w:pPr>
            <w:r w:rsidRPr="00651619">
              <w:rPr>
                <w:rFonts w:ascii="Calibri" w:hAnsi="Calibri" w:cs="Calibri"/>
                <w:bCs/>
                <w:sz w:val="20"/>
                <w:szCs w:val="20"/>
              </w:rPr>
              <w:t>Single Stream Recyclables</w:t>
            </w:r>
          </w:p>
        </w:tc>
      </w:tr>
      <w:tr w:rsidR="00ED4C67" w:rsidRPr="00651619" w14:paraId="09A6B5A2" w14:textId="77777777" w:rsidTr="00C37499">
        <w:trPr>
          <w:trHeight w:val="1034"/>
        </w:trPr>
        <w:tc>
          <w:tcPr>
            <w:tcW w:w="3547" w:type="dxa"/>
          </w:tcPr>
          <w:p w14:paraId="225430DB"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65-gallon cart (first 100 carts no charge to customer)</w:t>
            </w:r>
          </w:p>
        </w:tc>
        <w:tc>
          <w:tcPr>
            <w:tcW w:w="1308" w:type="dxa"/>
            <w:shd w:val="clear" w:color="auto" w:fill="FFFF00"/>
          </w:tcPr>
          <w:p w14:paraId="12E300E0" w14:textId="77777777" w:rsidR="00ED4C67" w:rsidRPr="00651619" w:rsidRDefault="00ED4C67" w:rsidP="00C37499">
            <w:pPr>
              <w:jc w:val="center"/>
              <w:rPr>
                <w:rFonts w:ascii="Calibri" w:hAnsi="Calibri" w:cs="Calibri"/>
                <w:bCs/>
                <w:sz w:val="20"/>
                <w:szCs w:val="20"/>
              </w:rPr>
            </w:pPr>
            <w:r w:rsidRPr="00651619">
              <w:rPr>
                <w:rFonts w:ascii="Calibri" w:hAnsi="Calibri" w:cs="Calibri"/>
                <w:bCs/>
                <w:sz w:val="20"/>
                <w:szCs w:val="20"/>
              </w:rPr>
              <w:t>Per Month</w:t>
            </w:r>
          </w:p>
          <w:p w14:paraId="29A55782" w14:textId="77777777" w:rsidR="00ED4C67" w:rsidRPr="00651619" w:rsidRDefault="00ED4C67" w:rsidP="00C37499">
            <w:pPr>
              <w:jc w:val="center"/>
              <w:rPr>
                <w:rFonts w:ascii="Calibri" w:hAnsi="Calibri" w:cs="Calibri"/>
                <w:bCs/>
                <w:sz w:val="20"/>
                <w:szCs w:val="20"/>
              </w:rPr>
            </w:pPr>
          </w:p>
        </w:tc>
        <w:tc>
          <w:tcPr>
            <w:tcW w:w="1950" w:type="dxa"/>
            <w:shd w:val="clear" w:color="auto" w:fill="FFFF00"/>
          </w:tcPr>
          <w:p w14:paraId="471AF0AA"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6F8F8CCF"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7119E658"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r w:rsidR="00ED4C67" w:rsidRPr="00651619" w14:paraId="6DA40BD7" w14:textId="77777777" w:rsidTr="00C37499">
        <w:trPr>
          <w:trHeight w:val="890"/>
        </w:trPr>
        <w:tc>
          <w:tcPr>
            <w:tcW w:w="3547" w:type="dxa"/>
          </w:tcPr>
          <w:p w14:paraId="5B92BE79"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2 cubic yard dumpster</w:t>
            </w:r>
          </w:p>
        </w:tc>
        <w:tc>
          <w:tcPr>
            <w:tcW w:w="1308" w:type="dxa"/>
            <w:shd w:val="clear" w:color="auto" w:fill="FFFF00"/>
          </w:tcPr>
          <w:p w14:paraId="27A211C2" w14:textId="77777777" w:rsidR="00ED4C67" w:rsidRPr="00651619" w:rsidRDefault="00ED4C67" w:rsidP="00C37499">
            <w:pPr>
              <w:jc w:val="center"/>
              <w:rPr>
                <w:rFonts w:ascii="Calibri" w:hAnsi="Calibri" w:cs="Calibri"/>
                <w:bCs/>
                <w:sz w:val="20"/>
                <w:szCs w:val="20"/>
              </w:rPr>
            </w:pPr>
            <w:r w:rsidRPr="00651619">
              <w:rPr>
                <w:rFonts w:ascii="Calibri" w:hAnsi="Calibri" w:cs="Calibri"/>
                <w:bCs/>
                <w:sz w:val="20"/>
                <w:szCs w:val="20"/>
              </w:rPr>
              <w:t>Per Month</w:t>
            </w:r>
          </w:p>
        </w:tc>
        <w:tc>
          <w:tcPr>
            <w:tcW w:w="1950" w:type="dxa"/>
            <w:shd w:val="clear" w:color="auto" w:fill="FFFF00"/>
          </w:tcPr>
          <w:p w14:paraId="0F90053D"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2325ACC2"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77615FC5"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r w:rsidR="00ED4C67" w:rsidRPr="00651619" w14:paraId="6F44912F" w14:textId="77777777" w:rsidTr="00C37499">
        <w:trPr>
          <w:trHeight w:val="1223"/>
        </w:trPr>
        <w:tc>
          <w:tcPr>
            <w:tcW w:w="3547" w:type="dxa"/>
          </w:tcPr>
          <w:p w14:paraId="496719F0"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4 cubic yard dumpster</w:t>
            </w:r>
          </w:p>
        </w:tc>
        <w:tc>
          <w:tcPr>
            <w:tcW w:w="1308" w:type="dxa"/>
            <w:shd w:val="clear" w:color="auto" w:fill="FFFF00"/>
          </w:tcPr>
          <w:p w14:paraId="135AD625" w14:textId="77777777" w:rsidR="00ED4C67" w:rsidRPr="00651619" w:rsidRDefault="00ED4C67" w:rsidP="00C37499">
            <w:pPr>
              <w:jc w:val="center"/>
              <w:rPr>
                <w:rFonts w:ascii="Calibri" w:hAnsi="Calibri" w:cs="Calibri"/>
                <w:bCs/>
                <w:sz w:val="20"/>
                <w:szCs w:val="20"/>
              </w:rPr>
            </w:pPr>
            <w:r w:rsidRPr="00651619">
              <w:rPr>
                <w:rFonts w:ascii="Calibri" w:hAnsi="Calibri" w:cs="Calibri"/>
                <w:bCs/>
                <w:sz w:val="20"/>
                <w:szCs w:val="20"/>
              </w:rPr>
              <w:t>Per Month</w:t>
            </w:r>
          </w:p>
        </w:tc>
        <w:tc>
          <w:tcPr>
            <w:tcW w:w="1950" w:type="dxa"/>
            <w:shd w:val="clear" w:color="auto" w:fill="FFFF00"/>
          </w:tcPr>
          <w:p w14:paraId="1ED607A2"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13EFA28D"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6B3BC6C0"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r w:rsidR="00ED4C67" w:rsidRPr="00651619" w14:paraId="02EDADAF" w14:textId="77777777" w:rsidTr="00C37499">
        <w:trPr>
          <w:trHeight w:val="890"/>
        </w:trPr>
        <w:tc>
          <w:tcPr>
            <w:tcW w:w="3547" w:type="dxa"/>
          </w:tcPr>
          <w:p w14:paraId="3482A565"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6 cubic yard dumpster</w:t>
            </w:r>
          </w:p>
        </w:tc>
        <w:tc>
          <w:tcPr>
            <w:tcW w:w="1308" w:type="dxa"/>
            <w:shd w:val="clear" w:color="auto" w:fill="FFFF00"/>
          </w:tcPr>
          <w:p w14:paraId="130FEE22" w14:textId="77777777" w:rsidR="00ED4C67" w:rsidRPr="00651619" w:rsidRDefault="00ED4C67" w:rsidP="00C37499">
            <w:pPr>
              <w:jc w:val="center"/>
              <w:rPr>
                <w:rFonts w:ascii="Calibri" w:hAnsi="Calibri" w:cs="Calibri"/>
                <w:bCs/>
                <w:sz w:val="20"/>
                <w:szCs w:val="20"/>
              </w:rPr>
            </w:pPr>
            <w:r w:rsidRPr="00651619">
              <w:rPr>
                <w:rFonts w:ascii="Calibri" w:hAnsi="Calibri" w:cs="Calibri"/>
                <w:bCs/>
                <w:sz w:val="20"/>
                <w:szCs w:val="20"/>
              </w:rPr>
              <w:t>Per Month</w:t>
            </w:r>
          </w:p>
        </w:tc>
        <w:tc>
          <w:tcPr>
            <w:tcW w:w="1950" w:type="dxa"/>
            <w:shd w:val="clear" w:color="auto" w:fill="FFFF00"/>
          </w:tcPr>
          <w:p w14:paraId="652F4B0B"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625EC3C7"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6889A0E0"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r w:rsidR="00ED4C67" w:rsidRPr="00651619" w14:paraId="3B82C5EB" w14:textId="77777777" w:rsidTr="00C37499">
        <w:trPr>
          <w:trHeight w:val="800"/>
        </w:trPr>
        <w:tc>
          <w:tcPr>
            <w:tcW w:w="3547" w:type="dxa"/>
          </w:tcPr>
          <w:p w14:paraId="732CD329"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8 cubic yard dumpster</w:t>
            </w:r>
          </w:p>
        </w:tc>
        <w:tc>
          <w:tcPr>
            <w:tcW w:w="1308" w:type="dxa"/>
            <w:shd w:val="clear" w:color="auto" w:fill="FFFF00"/>
          </w:tcPr>
          <w:p w14:paraId="19ADBBC4" w14:textId="77777777" w:rsidR="00ED4C67" w:rsidRPr="00651619" w:rsidRDefault="00ED4C67" w:rsidP="00C37499">
            <w:pPr>
              <w:jc w:val="center"/>
              <w:rPr>
                <w:rFonts w:ascii="Calibri" w:hAnsi="Calibri" w:cs="Calibri"/>
                <w:bCs/>
                <w:sz w:val="20"/>
                <w:szCs w:val="20"/>
              </w:rPr>
            </w:pPr>
            <w:r w:rsidRPr="00651619">
              <w:rPr>
                <w:rFonts w:ascii="Calibri" w:hAnsi="Calibri" w:cs="Calibri"/>
                <w:bCs/>
                <w:sz w:val="20"/>
                <w:szCs w:val="20"/>
              </w:rPr>
              <w:t>Per Month</w:t>
            </w:r>
          </w:p>
        </w:tc>
        <w:tc>
          <w:tcPr>
            <w:tcW w:w="1950" w:type="dxa"/>
            <w:shd w:val="clear" w:color="auto" w:fill="FFFF00"/>
          </w:tcPr>
          <w:p w14:paraId="39091FF3"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2E1B8DA3"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c>
          <w:tcPr>
            <w:tcW w:w="1950" w:type="dxa"/>
            <w:shd w:val="clear" w:color="auto" w:fill="FFFF00"/>
          </w:tcPr>
          <w:p w14:paraId="72157051" w14:textId="77777777" w:rsidR="00ED4C67" w:rsidRPr="00651619" w:rsidRDefault="00ED4C67" w:rsidP="00C37499">
            <w:pPr>
              <w:rPr>
                <w:rFonts w:ascii="Calibri" w:hAnsi="Calibri" w:cs="Calibri"/>
                <w:bCs/>
                <w:sz w:val="20"/>
                <w:szCs w:val="20"/>
              </w:rPr>
            </w:pPr>
            <w:r w:rsidRPr="00651619">
              <w:rPr>
                <w:rFonts w:ascii="Calibri" w:hAnsi="Calibri" w:cs="Calibri"/>
                <w:bCs/>
                <w:sz w:val="20"/>
                <w:szCs w:val="20"/>
              </w:rPr>
              <w:t>$</w:t>
            </w:r>
          </w:p>
        </w:tc>
      </w:tr>
    </w:tbl>
    <w:p w14:paraId="22EF90D4" w14:textId="77777777" w:rsidR="00ED4C67" w:rsidRPr="00651619" w:rsidRDefault="00ED4C67" w:rsidP="00ED4C67">
      <w:pPr>
        <w:rPr>
          <w:rFonts w:ascii="Calibri" w:eastAsia="Calibri" w:hAnsi="Calibri" w:cs="Calibri"/>
          <w:sz w:val="20"/>
          <w:szCs w:val="20"/>
        </w:rPr>
      </w:pPr>
    </w:p>
    <w:p w14:paraId="5B93E14B" w14:textId="77777777" w:rsidR="00ED4C67" w:rsidRPr="00651619" w:rsidRDefault="00ED4C67" w:rsidP="00ED4C67">
      <w:pPr>
        <w:rPr>
          <w:rFonts w:ascii="Calibri" w:eastAsia="Calibri" w:hAnsi="Calibri" w:cs="Calibri"/>
          <w:sz w:val="20"/>
          <w:szCs w:val="20"/>
        </w:rPr>
      </w:pPr>
    </w:p>
    <w:p w14:paraId="5336D0A3" w14:textId="77777777" w:rsidR="00ED4C67" w:rsidRPr="00651619" w:rsidRDefault="00ED4C67" w:rsidP="00ED4C67">
      <w:pPr>
        <w:rPr>
          <w:rFonts w:ascii="Calibri" w:eastAsia="Calibri" w:hAnsi="Calibri" w:cs="Calibri"/>
          <w:sz w:val="20"/>
          <w:szCs w:val="20"/>
        </w:rPr>
      </w:pPr>
    </w:p>
    <w:p w14:paraId="78EEE79C" w14:textId="77777777" w:rsidR="00ED4C67" w:rsidRPr="00651619" w:rsidRDefault="00ED4C67" w:rsidP="00ED4C67">
      <w:pPr>
        <w:rPr>
          <w:rFonts w:ascii="Calibri" w:eastAsia="Calibri" w:hAnsi="Calibri" w:cs="Calibri"/>
          <w:sz w:val="20"/>
          <w:szCs w:val="20"/>
        </w:rPr>
      </w:pPr>
      <w:r w:rsidRPr="00651619">
        <w:rPr>
          <w:rFonts w:ascii="Calibri" w:eastAsia="Calibri" w:hAnsi="Calibri" w:cs="Calibri"/>
          <w:sz w:val="20"/>
          <w:szCs w:val="20"/>
        </w:rPr>
        <w:t xml:space="preserve">NOTE:  Pricing for all Items must be provided </w:t>
      </w:r>
      <w:proofErr w:type="gramStart"/>
      <w:r w:rsidRPr="00651619">
        <w:rPr>
          <w:rFonts w:ascii="Calibri" w:eastAsia="Calibri" w:hAnsi="Calibri" w:cs="Calibri"/>
          <w:sz w:val="20"/>
          <w:szCs w:val="20"/>
        </w:rPr>
        <w:t>in order for</w:t>
      </w:r>
      <w:proofErr w:type="gramEnd"/>
      <w:r w:rsidRPr="00651619">
        <w:rPr>
          <w:rFonts w:ascii="Calibri" w:eastAsia="Calibri" w:hAnsi="Calibri" w:cs="Calibri"/>
          <w:sz w:val="20"/>
          <w:szCs w:val="20"/>
        </w:rPr>
        <w:t xml:space="preserve"> the bid submission to be complete.  If any pricing is omitted or the pricing sheet is incomplete, the bid will be deemed non-responsive.</w:t>
      </w:r>
    </w:p>
    <w:p w14:paraId="0A5C26C8" w14:textId="7CA6A781" w:rsidR="00ED4C67" w:rsidRPr="00651619" w:rsidRDefault="00ED4C67" w:rsidP="00ED4C67">
      <w:pPr>
        <w:tabs>
          <w:tab w:val="center" w:pos="4725"/>
          <w:tab w:val="left" w:pos="4860"/>
          <w:tab w:val="left" w:pos="5400"/>
          <w:tab w:val="left" w:pos="5940"/>
          <w:tab w:val="left" w:pos="6480"/>
          <w:tab w:val="left" w:pos="7020"/>
          <w:tab w:val="left" w:pos="7560"/>
          <w:tab w:val="left" w:pos="8100"/>
          <w:tab w:val="left" w:pos="8640"/>
          <w:tab w:val="left" w:pos="9180"/>
        </w:tabs>
        <w:rPr>
          <w:rFonts w:ascii="Calibri" w:hAnsi="Calibri" w:cs="Calibri"/>
          <w:sz w:val="20"/>
          <w:szCs w:val="20"/>
        </w:rPr>
      </w:pPr>
    </w:p>
    <w:p w14:paraId="0C487B90" w14:textId="77777777" w:rsidR="00ED4C67" w:rsidRPr="00651619" w:rsidRDefault="00ED4C67" w:rsidP="00ED4C67">
      <w:pPr>
        <w:pStyle w:val="ListParagraph"/>
        <w:ind w:left="0"/>
        <w:rPr>
          <w:rFonts w:ascii="Calibri" w:hAnsi="Calibri" w:cs="Calibri"/>
          <w:color w:val="000000"/>
          <w:sz w:val="20"/>
          <w:szCs w:val="20"/>
        </w:rPr>
      </w:pPr>
    </w:p>
    <w:p w14:paraId="493DBB8C" w14:textId="77777777" w:rsidR="00F67C03" w:rsidRDefault="00F67C03"/>
    <w:sectPr w:rsidR="00F67C03" w:rsidSect="00E93A16">
      <w:pgSz w:w="12240" w:h="15840"/>
      <w:pgMar w:top="810" w:right="1080" w:bottom="270" w:left="1080" w:header="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67"/>
    <w:rsid w:val="00E40D85"/>
    <w:rsid w:val="00ED4C67"/>
    <w:rsid w:val="00F6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9BD5"/>
  <w15:chartTrackingRefBased/>
  <w15:docId w15:val="{29923EDE-EC68-4B86-9F65-5E2E292A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C67"/>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67"/>
    <w:pPr>
      <w:ind w:left="720"/>
    </w:pPr>
  </w:style>
  <w:style w:type="table" w:customStyle="1" w:styleId="TableGrid5">
    <w:name w:val="Table Grid5"/>
    <w:basedOn w:val="TableNormal"/>
    <w:next w:val="TableGrid"/>
    <w:uiPriority w:val="39"/>
    <w:rsid w:val="00ED4C6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Kelley</dc:creator>
  <cp:keywords/>
  <dc:description/>
  <cp:lastModifiedBy>Shelly Kelley</cp:lastModifiedBy>
  <cp:revision>2</cp:revision>
  <dcterms:created xsi:type="dcterms:W3CDTF">2020-01-02T22:07:00Z</dcterms:created>
  <dcterms:modified xsi:type="dcterms:W3CDTF">2020-01-03T13:56:00Z</dcterms:modified>
</cp:coreProperties>
</file>